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95639" w14:textId="46457CEC" w:rsidR="000D0AF5" w:rsidRPr="00F51F9D" w:rsidRDefault="00010DA7" w:rsidP="000D0AF5">
      <w:pPr>
        <w:pStyle w:val="NormalWeb"/>
        <w:spacing w:before="0" w:beforeAutospacing="0" w:after="120" w:line="300" w:lineRule="exact"/>
        <w:jc w:val="both"/>
        <w:rPr>
          <w:rFonts w:ascii="Titillium Web" w:hAnsi="Titillium Web"/>
          <w:noProof/>
          <w:sz w:val="22"/>
          <w:szCs w:val="22"/>
          <w:lang w:val="en-GB"/>
        </w:rPr>
      </w:pPr>
      <w:r w:rsidRPr="00F51F9D">
        <w:rPr>
          <w:rFonts w:ascii="Titillium Web" w:hAnsi="Titillium Web"/>
          <w:b/>
          <w:noProof/>
          <w:sz w:val="28"/>
          <w:szCs w:val="28"/>
          <w:lang w:val="en-GB"/>
        </w:rPr>
        <w:t>Ivan Repušić</w:t>
      </w:r>
      <w:r w:rsidRPr="00F51F9D">
        <w:rPr>
          <w:rFonts w:ascii="Titillium Web" w:hAnsi="Titillium Web"/>
          <w:noProof/>
          <w:sz w:val="22"/>
          <w:szCs w:val="22"/>
          <w:lang w:val="en-GB"/>
        </w:rPr>
        <w:t xml:space="preserve"> </w:t>
      </w:r>
      <w:r w:rsidR="00B752EC" w:rsidRPr="00F51F9D">
        <w:rPr>
          <w:rFonts w:ascii="Titillium Web" w:hAnsi="Titillium Web"/>
          <w:noProof/>
          <w:sz w:val="22"/>
          <w:szCs w:val="22"/>
          <w:lang w:val="en-GB"/>
        </w:rPr>
        <w:t>(</w:t>
      </w:r>
      <w:r w:rsidR="000D0AF5" w:rsidRPr="00F51F9D">
        <w:rPr>
          <w:rFonts w:ascii="Titillium Web" w:hAnsi="Titillium Web"/>
          <w:noProof/>
          <w:sz w:val="22"/>
          <w:szCs w:val="22"/>
          <w:lang w:val="en-GB"/>
        </w:rPr>
        <w:t>b. 1978) is the General Music Director of the Leipzig Opera, Chief Conductor of the Munich Radio Orchestra, Chief Conductor of the Staatskapelle Weimar, and the first permanent guest conductor of the Deutsche Oper Berlin. He is widely regarded as one of Croatia’s leading conductors. He performs regularly in his homeland, where he also serves as Chief Conductor of the Zadar Chamber Orchestra.</w:t>
      </w:r>
    </w:p>
    <w:p w14:paraId="5B49D611" w14:textId="1390DA32" w:rsidR="000D0AF5" w:rsidRPr="00F51F9D" w:rsidRDefault="000D0AF5" w:rsidP="000D0AF5">
      <w:pPr>
        <w:pStyle w:val="NormalWeb"/>
        <w:spacing w:before="0" w:beforeAutospacing="0" w:after="120" w:line="300" w:lineRule="exact"/>
        <w:jc w:val="both"/>
        <w:rPr>
          <w:rFonts w:ascii="Titillium Web" w:hAnsi="Titillium Web"/>
          <w:noProof/>
          <w:sz w:val="22"/>
          <w:szCs w:val="22"/>
          <w:lang w:val="en-GB"/>
        </w:rPr>
      </w:pPr>
      <w:r w:rsidRPr="00F51F9D">
        <w:rPr>
          <w:rFonts w:ascii="Titillium Web" w:hAnsi="Titillium Web"/>
          <w:noProof/>
          <w:sz w:val="22"/>
          <w:szCs w:val="22"/>
          <w:lang w:val="en-GB"/>
        </w:rPr>
        <w:t xml:space="preserve">His tenure at the Leipzig Opera began at the start of the 2025/2026 season with a highly acclaimed premiere of Giuseppe Verdi’s </w:t>
      </w:r>
      <w:r w:rsidRPr="00F51F9D">
        <w:rPr>
          <w:rStyle w:val="Emphasis"/>
          <w:rFonts w:ascii="Titillium Web" w:hAnsi="Titillium Web"/>
          <w:noProof/>
          <w:sz w:val="22"/>
          <w:szCs w:val="22"/>
          <w:lang w:val="en-GB"/>
        </w:rPr>
        <w:t>Falstaff</w:t>
      </w:r>
      <w:r w:rsidRPr="00F51F9D">
        <w:rPr>
          <w:rFonts w:ascii="Titillium Web" w:hAnsi="Titillium Web"/>
          <w:noProof/>
          <w:sz w:val="22"/>
          <w:szCs w:val="22"/>
          <w:lang w:val="en-GB"/>
        </w:rPr>
        <w:t xml:space="preserve">. During the same season, he also conducts </w:t>
      </w:r>
      <w:r w:rsidRPr="00F51F9D">
        <w:rPr>
          <w:rStyle w:val="Emphasis"/>
          <w:rFonts w:ascii="Titillium Web" w:hAnsi="Titillium Web"/>
          <w:noProof/>
          <w:sz w:val="22"/>
          <w:szCs w:val="22"/>
          <w:lang w:val="en-GB"/>
        </w:rPr>
        <w:t>Rigoletto</w:t>
      </w:r>
      <w:r w:rsidRPr="00F51F9D">
        <w:rPr>
          <w:rFonts w:ascii="Titillium Web" w:hAnsi="Titillium Web"/>
          <w:noProof/>
          <w:sz w:val="22"/>
          <w:szCs w:val="22"/>
          <w:lang w:val="en-GB"/>
        </w:rPr>
        <w:t xml:space="preserve">, </w:t>
      </w:r>
      <w:r w:rsidRPr="00F51F9D">
        <w:rPr>
          <w:rStyle w:val="Emphasis"/>
          <w:rFonts w:ascii="Titillium Web" w:hAnsi="Titillium Web"/>
          <w:noProof/>
          <w:sz w:val="22"/>
          <w:szCs w:val="22"/>
          <w:lang w:val="en-GB"/>
        </w:rPr>
        <w:t>The Magic Flute</w:t>
      </w:r>
      <w:r w:rsidRPr="00F51F9D">
        <w:rPr>
          <w:rFonts w:ascii="Titillium Web" w:hAnsi="Titillium Web"/>
          <w:noProof/>
          <w:sz w:val="22"/>
          <w:szCs w:val="22"/>
          <w:lang w:val="en-GB"/>
        </w:rPr>
        <w:t xml:space="preserve">, </w:t>
      </w:r>
      <w:r w:rsidRPr="00F51F9D">
        <w:rPr>
          <w:rStyle w:val="Emphasis"/>
          <w:rFonts w:ascii="Titillium Web" w:hAnsi="Titillium Web"/>
          <w:noProof/>
          <w:sz w:val="22"/>
          <w:szCs w:val="22"/>
          <w:lang w:val="en-GB"/>
        </w:rPr>
        <w:t>La bohème</w:t>
      </w:r>
      <w:r w:rsidRPr="00F51F9D">
        <w:rPr>
          <w:rFonts w:ascii="Titillium Web" w:hAnsi="Titillium Web"/>
          <w:noProof/>
          <w:sz w:val="22"/>
          <w:szCs w:val="22"/>
          <w:lang w:val="en-GB"/>
        </w:rPr>
        <w:t xml:space="preserve">, </w:t>
      </w:r>
      <w:r w:rsidRPr="00F51F9D">
        <w:rPr>
          <w:rStyle w:val="Emphasis"/>
          <w:rFonts w:ascii="Titillium Web" w:hAnsi="Titillium Web"/>
          <w:noProof/>
          <w:sz w:val="22"/>
          <w:szCs w:val="22"/>
          <w:lang w:val="en-GB"/>
        </w:rPr>
        <w:t>The Flying Dutchman</w:t>
      </w:r>
      <w:r w:rsidRPr="00F51F9D">
        <w:rPr>
          <w:rFonts w:ascii="Titillium Web" w:hAnsi="Titillium Web"/>
          <w:noProof/>
          <w:sz w:val="22"/>
          <w:szCs w:val="22"/>
          <w:lang w:val="en-GB"/>
        </w:rPr>
        <w:t xml:space="preserve">, and </w:t>
      </w:r>
      <w:r w:rsidRPr="00F51F9D">
        <w:rPr>
          <w:rStyle w:val="Emphasis"/>
          <w:rFonts w:ascii="Titillium Web" w:hAnsi="Titillium Web"/>
          <w:noProof/>
          <w:sz w:val="22"/>
          <w:szCs w:val="22"/>
          <w:lang w:val="en-GB"/>
        </w:rPr>
        <w:t>Tristan und Isolde</w:t>
      </w:r>
      <w:r w:rsidRPr="00F51F9D">
        <w:rPr>
          <w:rFonts w:ascii="Titillium Web" w:hAnsi="Titillium Web"/>
          <w:noProof/>
          <w:sz w:val="22"/>
          <w:szCs w:val="22"/>
          <w:lang w:val="en-GB"/>
        </w:rPr>
        <w:t xml:space="preserve">. With the Munich Radio Orchestra, his upcoming engagements include Verdi’s </w:t>
      </w:r>
      <w:r w:rsidRPr="00F51F9D">
        <w:rPr>
          <w:rStyle w:val="Emphasis"/>
          <w:rFonts w:ascii="Titillium Web" w:hAnsi="Titillium Web"/>
          <w:noProof/>
          <w:sz w:val="22"/>
          <w:szCs w:val="22"/>
          <w:lang w:val="en-GB"/>
        </w:rPr>
        <w:t>Simon Boccanegra</w:t>
      </w:r>
      <w:r w:rsidRPr="00F51F9D">
        <w:rPr>
          <w:rFonts w:ascii="Titillium Web" w:hAnsi="Titillium Web"/>
          <w:noProof/>
          <w:sz w:val="22"/>
          <w:szCs w:val="22"/>
          <w:lang w:val="en-GB"/>
        </w:rPr>
        <w:t xml:space="preserve">, a guest appearance in Budapest, a concert celebrating the 80th birthday of Pēteris Vasks, and, in June 2026, a farewell concert marking the conclusion of his tenure as Chief Conductor, a position he has held since 2017. With the Staatskapelle Weimar - where he made his debut as Chief Conductor in August 2024 - he will conduct works such as songs for voice and orchestra by Dora Pejačević, Gustav Mahler’s Symphony No. 4, and Ferran Cruixent’s </w:t>
      </w:r>
      <w:r w:rsidRPr="00F51F9D">
        <w:rPr>
          <w:rStyle w:val="Emphasis"/>
          <w:rFonts w:ascii="Titillium Web" w:hAnsi="Titillium Web"/>
          <w:noProof/>
          <w:sz w:val="22"/>
          <w:szCs w:val="22"/>
          <w:lang w:val="en-GB"/>
        </w:rPr>
        <w:t>Trinity</w:t>
      </w:r>
      <w:r w:rsidRPr="00F51F9D">
        <w:rPr>
          <w:rFonts w:ascii="Titillium Web" w:hAnsi="Titillium Web"/>
          <w:noProof/>
          <w:sz w:val="22"/>
          <w:szCs w:val="22"/>
          <w:lang w:val="en-GB"/>
        </w:rPr>
        <w:t xml:space="preserve">, as well as lead a guest performance in Zagreb. At the Deutsche Oper Berlin, he conducts </w:t>
      </w:r>
      <w:r w:rsidRPr="00F51F9D">
        <w:rPr>
          <w:rStyle w:val="Emphasis"/>
          <w:rFonts w:ascii="Titillium Web" w:hAnsi="Titillium Web"/>
          <w:noProof/>
          <w:sz w:val="22"/>
          <w:szCs w:val="22"/>
          <w:lang w:val="en-GB"/>
        </w:rPr>
        <w:t>Tosca</w:t>
      </w:r>
      <w:r w:rsidRPr="00F51F9D">
        <w:rPr>
          <w:rFonts w:ascii="Titillium Web" w:hAnsi="Titillium Web"/>
          <w:noProof/>
          <w:sz w:val="22"/>
          <w:szCs w:val="22"/>
          <w:lang w:val="en-GB"/>
        </w:rPr>
        <w:t xml:space="preserve"> and </w:t>
      </w:r>
      <w:r w:rsidRPr="00F51F9D">
        <w:rPr>
          <w:rStyle w:val="Emphasis"/>
          <w:rFonts w:ascii="Titillium Web" w:hAnsi="Titillium Web"/>
          <w:noProof/>
          <w:sz w:val="22"/>
          <w:szCs w:val="22"/>
          <w:lang w:val="en-GB"/>
        </w:rPr>
        <w:t>La traviata</w:t>
      </w:r>
      <w:r w:rsidRPr="00F51F9D">
        <w:rPr>
          <w:rFonts w:ascii="Titillium Web" w:hAnsi="Titillium Web"/>
          <w:noProof/>
          <w:sz w:val="22"/>
          <w:szCs w:val="22"/>
          <w:lang w:val="en-GB"/>
        </w:rPr>
        <w:t>, and he also returns to the podium of the Frankfurt Radio Symphony Orchestra while appearing as a guest conductor with the RTV Slovenia Symphony Orchestra.</w:t>
      </w:r>
    </w:p>
    <w:p w14:paraId="130E1BA3" w14:textId="4F8EE71F" w:rsidR="000D0AF5" w:rsidRPr="00F51F9D" w:rsidRDefault="000D0AF5" w:rsidP="000D0AF5">
      <w:pPr>
        <w:spacing w:after="120" w:line="300" w:lineRule="exact"/>
        <w:jc w:val="both"/>
        <w:rPr>
          <w:rFonts w:ascii="Titillium Web" w:eastAsia="Times New Roman" w:hAnsi="Titillium Web" w:cs="Times New Roman"/>
          <w:noProof/>
          <w:lang w:val="en-GB" w:eastAsia="hr-HR"/>
        </w:rPr>
      </w:pPr>
      <w:r w:rsidRPr="00F51F9D">
        <w:rPr>
          <w:rFonts w:ascii="Titillium Web" w:eastAsia="Times New Roman" w:hAnsi="Titillium Web" w:cs="Times New Roman"/>
          <w:noProof/>
          <w:lang w:val="en-GB" w:eastAsia="hr-HR"/>
        </w:rPr>
        <w:t xml:space="preserve">He began his professional career in Germany at the </w:t>
      </w:r>
      <w:r w:rsidRPr="00F51F9D">
        <w:rPr>
          <w:rFonts w:ascii="Titillium Web" w:eastAsia="Times New Roman" w:hAnsi="Titillium Web" w:cs="Times New Roman"/>
          <w:bCs/>
          <w:noProof/>
          <w:lang w:val="en-GB" w:eastAsia="hr-HR"/>
        </w:rPr>
        <w:t xml:space="preserve">State Opera in Hannover, where he later served as Music Director from 2016 to 2019. </w:t>
      </w:r>
      <w:r w:rsidRPr="00F51F9D">
        <w:rPr>
          <w:rFonts w:ascii="Titillium Web" w:eastAsia="Times New Roman" w:hAnsi="Titillium Web" w:cs="Times New Roman"/>
          <w:noProof/>
          <w:lang w:val="en-GB" w:eastAsia="hr-HR"/>
        </w:rPr>
        <w:t xml:space="preserve">Following his debut at the </w:t>
      </w:r>
      <w:r w:rsidRPr="00F51F9D">
        <w:rPr>
          <w:rFonts w:ascii="Titillium Web" w:eastAsia="Times New Roman" w:hAnsi="Titillium Web" w:cs="Times New Roman"/>
          <w:bCs/>
          <w:noProof/>
          <w:lang w:val="en-GB" w:eastAsia="hr-HR"/>
        </w:rPr>
        <w:t>Deutsche Oper Berlin</w:t>
      </w:r>
      <w:r w:rsidRPr="00F51F9D">
        <w:rPr>
          <w:rFonts w:ascii="Titillium Web" w:eastAsia="Times New Roman" w:hAnsi="Titillium Web" w:cs="Times New Roman"/>
          <w:noProof/>
          <w:lang w:val="en-GB" w:eastAsia="hr-HR"/>
        </w:rPr>
        <w:t xml:space="preserve"> in 2011, he was appointed conductor of that opera house and has been the first permanent guest conductor since 2014. His repertoire encompasses more than fifty operatic works. He has performed in some of the most prestigious concert halls, opera houses, and festivals in Europe and around the world, including the </w:t>
      </w:r>
      <w:r w:rsidRPr="00F51F9D">
        <w:rPr>
          <w:rFonts w:ascii="Titillium Web" w:eastAsia="Times New Roman" w:hAnsi="Titillium Web" w:cs="Times New Roman"/>
          <w:bCs/>
          <w:noProof/>
          <w:lang w:val="en-GB" w:eastAsia="hr-HR"/>
        </w:rPr>
        <w:t>Berlin Philharmonie</w:t>
      </w:r>
      <w:r w:rsidRPr="00F51F9D">
        <w:rPr>
          <w:rFonts w:ascii="Titillium Web" w:eastAsia="Times New Roman" w:hAnsi="Titillium Web" w:cs="Times New Roman"/>
          <w:noProof/>
          <w:lang w:val="en-GB" w:eastAsia="hr-HR"/>
        </w:rPr>
        <w:t xml:space="preserve">, </w:t>
      </w:r>
      <w:r w:rsidRPr="00F51F9D">
        <w:rPr>
          <w:rFonts w:ascii="Titillium Web" w:eastAsia="Times New Roman" w:hAnsi="Titillium Web" w:cs="Times New Roman"/>
          <w:bCs/>
          <w:noProof/>
          <w:lang w:val="en-GB" w:eastAsia="hr-HR"/>
        </w:rPr>
        <w:t>Musikverein Vienna</w:t>
      </w:r>
      <w:r w:rsidRPr="00F51F9D">
        <w:rPr>
          <w:rFonts w:ascii="Titillium Web" w:eastAsia="Times New Roman" w:hAnsi="Titillium Web" w:cs="Times New Roman"/>
          <w:noProof/>
          <w:lang w:val="en-GB" w:eastAsia="hr-HR"/>
        </w:rPr>
        <w:t xml:space="preserve">, </w:t>
      </w:r>
      <w:r w:rsidRPr="00F51F9D">
        <w:rPr>
          <w:rFonts w:ascii="Titillium Web" w:eastAsia="Times New Roman" w:hAnsi="Titillium Web" w:cs="Times New Roman"/>
          <w:bCs/>
          <w:noProof/>
          <w:lang w:val="en-GB" w:eastAsia="hr-HR"/>
        </w:rPr>
        <w:t>Semperoper Dresden</w:t>
      </w:r>
      <w:r w:rsidRPr="00F51F9D">
        <w:rPr>
          <w:rFonts w:ascii="Titillium Web" w:eastAsia="Times New Roman" w:hAnsi="Titillium Web" w:cs="Times New Roman"/>
          <w:noProof/>
          <w:lang w:val="en-GB" w:eastAsia="hr-HR"/>
        </w:rPr>
        <w:t xml:space="preserve">, </w:t>
      </w:r>
      <w:r w:rsidRPr="00F51F9D">
        <w:rPr>
          <w:rFonts w:ascii="Titillium Web" w:eastAsia="Times New Roman" w:hAnsi="Titillium Web" w:cs="Times New Roman"/>
          <w:bCs/>
          <w:noProof/>
          <w:lang w:val="en-GB" w:eastAsia="hr-HR"/>
        </w:rPr>
        <w:t>Bavarian State Opera</w:t>
      </w:r>
      <w:r w:rsidRPr="00F51F9D">
        <w:rPr>
          <w:rFonts w:ascii="Titillium Web" w:eastAsia="Times New Roman" w:hAnsi="Titillium Web" w:cs="Times New Roman"/>
          <w:noProof/>
          <w:lang w:val="en-GB" w:eastAsia="hr-HR"/>
        </w:rPr>
        <w:t xml:space="preserve">, </w:t>
      </w:r>
      <w:r w:rsidRPr="00F51F9D">
        <w:rPr>
          <w:rFonts w:ascii="Titillium Web" w:eastAsia="Times New Roman" w:hAnsi="Titillium Web" w:cs="Times New Roman"/>
          <w:bCs/>
          <w:noProof/>
          <w:lang w:val="en-GB" w:eastAsia="hr-HR"/>
        </w:rPr>
        <w:t>Opernhaus Zürich</w:t>
      </w:r>
      <w:r w:rsidRPr="00F51F9D">
        <w:rPr>
          <w:rFonts w:ascii="Titillium Web" w:eastAsia="Times New Roman" w:hAnsi="Titillium Web" w:cs="Times New Roman"/>
          <w:noProof/>
          <w:lang w:val="en-GB" w:eastAsia="hr-HR"/>
        </w:rPr>
        <w:t xml:space="preserve">, and the </w:t>
      </w:r>
      <w:r w:rsidRPr="00F51F9D">
        <w:rPr>
          <w:rFonts w:ascii="Titillium Web" w:eastAsia="Times New Roman" w:hAnsi="Titillium Web" w:cs="Times New Roman"/>
          <w:bCs/>
          <w:noProof/>
          <w:lang w:val="en-GB" w:eastAsia="hr-HR"/>
        </w:rPr>
        <w:t>New National Theatre Tokyo</w:t>
      </w:r>
      <w:r w:rsidRPr="00F51F9D">
        <w:rPr>
          <w:rFonts w:ascii="Titillium Web" w:eastAsia="Times New Roman" w:hAnsi="Titillium Web" w:cs="Times New Roman"/>
          <w:noProof/>
          <w:lang w:val="en-GB" w:eastAsia="hr-HR"/>
        </w:rPr>
        <w:t>.</w:t>
      </w:r>
    </w:p>
    <w:p w14:paraId="7FE78526" w14:textId="68DEECAB" w:rsidR="000D0AF5" w:rsidRPr="00F51F9D" w:rsidRDefault="000D0AF5" w:rsidP="000D0AF5">
      <w:pPr>
        <w:spacing w:after="120" w:line="300" w:lineRule="exact"/>
        <w:jc w:val="both"/>
        <w:rPr>
          <w:rFonts w:ascii="Titillium Web" w:eastAsia="Times New Roman" w:hAnsi="Titillium Web" w:cs="Times New Roman"/>
          <w:noProof/>
          <w:lang w:val="en-GB" w:eastAsia="hr-HR"/>
        </w:rPr>
      </w:pPr>
      <w:r w:rsidRPr="00F51F9D">
        <w:rPr>
          <w:rFonts w:ascii="Titillium Web" w:eastAsia="Times New Roman" w:hAnsi="Titillium Web" w:cs="Times New Roman"/>
          <w:noProof/>
          <w:lang w:val="en-GB" w:eastAsia="hr-HR"/>
        </w:rPr>
        <w:t xml:space="preserve">In collaboration with leading international soloists, the Munich Radio Orchestra, and the Bavarian Radio Choir, he has recorded more than twenty releases for major European labels, including BR-Klassik, Warner Classics, cpo, and Pentatone  - among them works by Croatian composers. Many of these releases have received prestigious awards, including the International Classical Music Awards (ICMA), Opus Klassik, Diapason d’Or, and Porin. Among his recent releases are </w:t>
      </w:r>
      <w:r w:rsidRPr="00F51F9D">
        <w:rPr>
          <w:rFonts w:ascii="Titillium Web" w:eastAsia="Times New Roman" w:hAnsi="Titillium Web" w:cs="Times New Roman"/>
          <w:i/>
          <w:iCs/>
          <w:noProof/>
          <w:lang w:val="en-GB" w:eastAsia="hr-HR"/>
        </w:rPr>
        <w:t>Puccini: Messa di Gloria</w:t>
      </w:r>
      <w:r w:rsidRPr="00F51F9D">
        <w:rPr>
          <w:rFonts w:ascii="Titillium Web" w:eastAsia="Times New Roman" w:hAnsi="Titillium Web" w:cs="Times New Roman"/>
          <w:noProof/>
          <w:lang w:val="en-GB" w:eastAsia="hr-HR"/>
        </w:rPr>
        <w:t xml:space="preserve">, </w:t>
      </w:r>
      <w:r w:rsidRPr="00F51F9D">
        <w:rPr>
          <w:rFonts w:ascii="Titillium Web" w:eastAsia="Times New Roman" w:hAnsi="Titillium Web" w:cs="Times New Roman"/>
          <w:i/>
          <w:iCs/>
          <w:noProof/>
          <w:lang w:val="en-GB" w:eastAsia="hr-HR"/>
        </w:rPr>
        <w:t>Verdi: Complete Ballet Music</w:t>
      </w:r>
      <w:r w:rsidRPr="00F51F9D">
        <w:rPr>
          <w:rFonts w:ascii="Titillium Web" w:eastAsia="Times New Roman" w:hAnsi="Titillium Web" w:cs="Times New Roman"/>
          <w:noProof/>
          <w:lang w:val="en-GB" w:eastAsia="hr-HR"/>
        </w:rPr>
        <w:t xml:space="preserve">, </w:t>
      </w:r>
      <w:r w:rsidRPr="00F51F9D">
        <w:rPr>
          <w:rFonts w:ascii="Titillium Web" w:eastAsia="Times New Roman" w:hAnsi="Titillium Web" w:cs="Times New Roman"/>
          <w:i/>
          <w:iCs/>
          <w:noProof/>
          <w:lang w:val="en-GB" w:eastAsia="hr-HR"/>
        </w:rPr>
        <w:t>Puccini: Le Villi</w:t>
      </w:r>
      <w:r w:rsidRPr="00F51F9D">
        <w:rPr>
          <w:rFonts w:ascii="Titillium Web" w:eastAsia="Times New Roman" w:hAnsi="Titillium Web" w:cs="Times New Roman"/>
          <w:noProof/>
          <w:lang w:val="en-GB" w:eastAsia="hr-HR"/>
        </w:rPr>
        <w:t xml:space="preserve">, and the album </w:t>
      </w:r>
      <w:r w:rsidRPr="00F51F9D">
        <w:rPr>
          <w:rFonts w:ascii="Titillium Web" w:eastAsia="Times New Roman" w:hAnsi="Titillium Web" w:cs="Times New Roman"/>
          <w:i/>
          <w:iCs/>
          <w:noProof/>
          <w:lang w:val="en-GB" w:eastAsia="hr-HR"/>
        </w:rPr>
        <w:t>Golden Age</w:t>
      </w:r>
      <w:r w:rsidRPr="00F51F9D">
        <w:rPr>
          <w:rFonts w:ascii="Titillium Web" w:eastAsia="Times New Roman" w:hAnsi="Titillium Web" w:cs="Times New Roman"/>
          <w:noProof/>
          <w:lang w:val="en-GB" w:eastAsia="hr-HR"/>
        </w:rPr>
        <w:t xml:space="preserve">, which was selected by </w:t>
      </w:r>
      <w:r w:rsidRPr="00F51F9D">
        <w:rPr>
          <w:rFonts w:ascii="Titillium Web" w:eastAsia="Times New Roman" w:hAnsi="Titillium Web" w:cs="Times New Roman"/>
          <w:i/>
          <w:iCs/>
          <w:noProof/>
          <w:lang w:val="en-GB" w:eastAsia="hr-HR"/>
        </w:rPr>
        <w:t>The New York Times</w:t>
      </w:r>
      <w:r w:rsidRPr="00F51F9D">
        <w:rPr>
          <w:rFonts w:ascii="Titillium Web" w:eastAsia="Times New Roman" w:hAnsi="Titillium Web" w:cs="Times New Roman"/>
          <w:noProof/>
          <w:lang w:val="en-GB" w:eastAsia="hr-HR"/>
        </w:rPr>
        <w:t xml:space="preserve"> and </w:t>
      </w:r>
      <w:r w:rsidRPr="00F51F9D">
        <w:rPr>
          <w:rFonts w:ascii="Titillium Web" w:eastAsia="Times New Roman" w:hAnsi="Titillium Web" w:cs="Times New Roman"/>
          <w:i/>
          <w:iCs/>
          <w:noProof/>
          <w:lang w:val="en-GB" w:eastAsia="hr-HR"/>
        </w:rPr>
        <w:t>BBC Music Magazine</w:t>
      </w:r>
      <w:r w:rsidRPr="00F51F9D">
        <w:rPr>
          <w:rFonts w:ascii="Titillium Web" w:eastAsia="Times New Roman" w:hAnsi="Titillium Web" w:cs="Times New Roman"/>
          <w:noProof/>
          <w:lang w:val="en-GB" w:eastAsia="hr-HR"/>
        </w:rPr>
        <w:t xml:space="preserve"> as one of the best classical music albums of 2025.</w:t>
      </w:r>
    </w:p>
    <w:p w14:paraId="46A1A94E" w14:textId="2C9BAEF5" w:rsidR="00194919" w:rsidRDefault="000D0AF5" w:rsidP="0078537F">
      <w:pPr>
        <w:spacing w:after="120" w:line="300" w:lineRule="exact"/>
        <w:jc w:val="both"/>
        <w:rPr>
          <w:rFonts w:ascii="Titillium Web" w:eastAsia="Times New Roman" w:hAnsi="Titillium Web" w:cs="Times New Roman"/>
          <w:noProof/>
          <w:lang w:val="en-GB" w:eastAsia="hr-HR"/>
        </w:rPr>
      </w:pPr>
      <w:r w:rsidRPr="00F51F9D">
        <w:rPr>
          <w:rFonts w:ascii="Titillium Web" w:eastAsia="Times New Roman" w:hAnsi="Titillium Web" w:cs="Times New Roman"/>
          <w:noProof/>
          <w:lang w:val="en-GB" w:eastAsia="hr-HR"/>
        </w:rPr>
        <w:t xml:space="preserve">Ivan Repušić received his musical education in Zadar, Croatia, and at the </w:t>
      </w:r>
      <w:r w:rsidRPr="00F51F9D">
        <w:rPr>
          <w:rFonts w:ascii="Titillium Web" w:eastAsia="Times New Roman" w:hAnsi="Titillium Web" w:cs="Times New Roman"/>
          <w:bCs/>
          <w:noProof/>
          <w:lang w:val="en-GB" w:eastAsia="hr-HR"/>
        </w:rPr>
        <w:t>Music Academy in Zagreb</w:t>
      </w:r>
      <w:r w:rsidRPr="00F51F9D">
        <w:rPr>
          <w:rFonts w:ascii="Titillium Web" w:eastAsia="Times New Roman" w:hAnsi="Titillium Web" w:cs="Times New Roman"/>
          <w:noProof/>
          <w:lang w:val="en-GB" w:eastAsia="hr-HR"/>
        </w:rPr>
        <w:t xml:space="preserve"> under Igor Gjadrov and Vjekoslav Šutej. He further developed his skills with Jorma Panula, Gianluigi Gelmetti, Kazushi Ono, and Donald Runnicles. He began his professional career at the </w:t>
      </w:r>
      <w:r w:rsidRPr="00F51F9D">
        <w:rPr>
          <w:rFonts w:ascii="Titillium Web" w:eastAsia="Times New Roman" w:hAnsi="Titillium Web" w:cs="Times New Roman"/>
          <w:bCs/>
          <w:noProof/>
          <w:lang w:val="en-GB" w:eastAsia="hr-HR"/>
        </w:rPr>
        <w:t>Croatian National Theatre in Split</w:t>
      </w:r>
      <w:r w:rsidRPr="00F51F9D">
        <w:rPr>
          <w:rFonts w:ascii="Titillium Web" w:eastAsia="Times New Roman" w:hAnsi="Titillium Web" w:cs="Times New Roman"/>
          <w:noProof/>
          <w:lang w:val="en-GB" w:eastAsia="hr-HR"/>
        </w:rPr>
        <w:t xml:space="preserve">, where he served as Chief Conductor and Director of the Opera. He also served as Music Director of the Split Summer Festival and the Dubrovnik Summer Festival and also taught at the </w:t>
      </w:r>
      <w:r w:rsidRPr="00F51F9D">
        <w:rPr>
          <w:rFonts w:ascii="Titillium Web" w:eastAsia="Times New Roman" w:hAnsi="Titillium Web" w:cs="Times New Roman"/>
          <w:bCs/>
          <w:noProof/>
          <w:lang w:val="en-GB" w:eastAsia="hr-HR"/>
        </w:rPr>
        <w:t>Academy of Arts, University of Split</w:t>
      </w:r>
      <w:r w:rsidRPr="00F51F9D">
        <w:rPr>
          <w:rFonts w:ascii="Titillium Web" w:eastAsia="Times New Roman" w:hAnsi="Titillium Web" w:cs="Times New Roman"/>
          <w:noProof/>
          <w:lang w:val="en-GB" w:eastAsia="hr-HR"/>
        </w:rPr>
        <w:t>. He has received numerous prestigious Croatian awards, including the Vladimir Nazor Award and the Milka Trnina Award, an honorary doctorate from the University of Zadar (2021), and the Order of the Croatian Star with Effigy of Marko Marulić (2024).</w:t>
      </w:r>
    </w:p>
    <w:p w14:paraId="643CCB4E" w14:textId="7A6AA0EC" w:rsidR="001E02DF" w:rsidRPr="0078537F" w:rsidRDefault="00811FA2" w:rsidP="0078537F">
      <w:pPr>
        <w:spacing w:after="120" w:line="300" w:lineRule="exact"/>
        <w:jc w:val="both"/>
        <w:rPr>
          <w:rFonts w:ascii="Titillium Web" w:eastAsia="Times New Roman" w:hAnsi="Titillium Web" w:cs="Times New Roman"/>
          <w:noProof/>
          <w:lang w:val="en-GB" w:eastAsia="hr-HR"/>
        </w:rPr>
      </w:pPr>
      <w:r>
        <w:rPr>
          <w:rFonts w:ascii="Titillium Web" w:eastAsia="Times New Roman" w:hAnsi="Titillium Web" w:cs="Times New Roman"/>
          <w:noProof/>
          <w:lang w:val="en-GB" w:eastAsia="hr-HR"/>
        </w:rPr>
        <w:lastRenderedPageBreak/>
        <w:drawing>
          <wp:anchor distT="0" distB="0" distL="114300" distR="114300" simplePos="0" relativeHeight="251658240" behindDoc="0" locked="0" layoutInCell="1" allowOverlap="1" wp14:anchorId="0BD5BE66" wp14:editId="413D19A5">
            <wp:simplePos x="0" y="0"/>
            <wp:positionH relativeFrom="column">
              <wp:posOffset>-900146</wp:posOffset>
            </wp:positionH>
            <wp:positionV relativeFrom="paragraph">
              <wp:posOffset>3175</wp:posOffset>
            </wp:positionV>
            <wp:extent cx="7560000" cy="1295158"/>
            <wp:effectExtent l="0" t="0" r="3175" b="635"/>
            <wp:wrapSquare wrapText="bothSides"/>
            <wp:docPr id="12378002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800245" name="Picture 12378002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1295158"/>
                    </a:xfrm>
                    <a:prstGeom prst="rect">
                      <a:avLst/>
                    </a:prstGeom>
                  </pic:spPr>
                </pic:pic>
              </a:graphicData>
            </a:graphic>
            <wp14:sizeRelH relativeFrom="page">
              <wp14:pctWidth>0</wp14:pctWidth>
            </wp14:sizeRelH>
            <wp14:sizeRelV relativeFrom="page">
              <wp14:pctHeight>0</wp14:pctHeight>
            </wp14:sizeRelV>
          </wp:anchor>
        </w:drawing>
      </w:r>
    </w:p>
    <w:sectPr w:rsidR="001E02DF" w:rsidRPr="0078537F" w:rsidSect="00194919">
      <w:headerReference w:type="default" r:id="rId9"/>
      <w:footerReference w:type="default" r:id="rId10"/>
      <w:type w:val="continuous"/>
      <w:pgSz w:w="11906" w:h="16838"/>
      <w:pgMar w:top="1873" w:right="991" w:bottom="2694" w:left="1418" w:header="3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65CE2" w14:textId="77777777" w:rsidR="000B0F65" w:rsidRDefault="000B0F65" w:rsidP="00945D0C">
      <w:pPr>
        <w:spacing w:after="0" w:line="240" w:lineRule="auto"/>
      </w:pPr>
      <w:r>
        <w:separator/>
      </w:r>
    </w:p>
  </w:endnote>
  <w:endnote w:type="continuationSeparator" w:id="0">
    <w:p w14:paraId="4C5C45E4" w14:textId="77777777" w:rsidR="000B0F65" w:rsidRDefault="000B0F65" w:rsidP="0094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 Web">
    <w:panose1 w:val="00000500000000000000"/>
    <w:charset w:val="EE"/>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2906D" w14:textId="3542D73D" w:rsidR="00A6160B" w:rsidRDefault="00595AB6">
    <w:pPr>
      <w:pStyle w:val="Footer"/>
    </w:pPr>
    <w:r>
      <w:rPr>
        <w:noProof/>
      </w:rPr>
      <w:drawing>
        <wp:anchor distT="0" distB="0" distL="114300" distR="114300" simplePos="0" relativeHeight="251658240" behindDoc="0" locked="0" layoutInCell="1" allowOverlap="1" wp14:anchorId="6048140D" wp14:editId="289B0887">
          <wp:simplePos x="0" y="0"/>
          <wp:positionH relativeFrom="column">
            <wp:posOffset>-900752</wp:posOffset>
          </wp:positionH>
          <wp:positionV relativeFrom="paragraph">
            <wp:posOffset>-1077434</wp:posOffset>
          </wp:positionV>
          <wp:extent cx="7560000" cy="1693189"/>
          <wp:effectExtent l="0" t="0" r="3175" b="2540"/>
          <wp:wrapNone/>
          <wp:docPr id="1835650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76283" name="Picture 1521876283"/>
                  <pic:cNvPicPr/>
                </pic:nvPicPr>
                <pic:blipFill>
                  <a:blip r:embed="rId1">
                    <a:extLst>
                      <a:ext uri="{28A0092B-C50C-407E-A947-70E740481C1C}">
                        <a14:useLocalDpi xmlns:a14="http://schemas.microsoft.com/office/drawing/2010/main" val="0"/>
                      </a:ext>
                    </a:extLst>
                  </a:blip>
                  <a:stretch>
                    <a:fillRect/>
                  </a:stretch>
                </pic:blipFill>
                <pic:spPr>
                  <a:xfrm>
                    <a:off x="0" y="0"/>
                    <a:ext cx="7560000" cy="169318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E77A" w14:textId="77777777" w:rsidR="000B0F65" w:rsidRDefault="000B0F65" w:rsidP="00945D0C">
      <w:pPr>
        <w:spacing w:after="0" w:line="240" w:lineRule="auto"/>
      </w:pPr>
      <w:r>
        <w:separator/>
      </w:r>
    </w:p>
  </w:footnote>
  <w:footnote w:type="continuationSeparator" w:id="0">
    <w:p w14:paraId="444FF500" w14:textId="77777777" w:rsidR="000B0F65" w:rsidRDefault="000B0F65" w:rsidP="00945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B906" w14:textId="4C69B6FB" w:rsidR="00A6160B" w:rsidRDefault="00A6160B">
    <w:pPr>
      <w:pStyle w:val="Header"/>
    </w:pPr>
    <w:r>
      <w:rPr>
        <w:noProof/>
      </w:rPr>
      <w:drawing>
        <wp:anchor distT="0" distB="0" distL="0" distR="0" simplePos="0" relativeHeight="251657216" behindDoc="0" locked="1" layoutInCell="1" allowOverlap="0" wp14:anchorId="0E9D88D0" wp14:editId="5FBA0AD7">
          <wp:simplePos x="0" y="0"/>
          <wp:positionH relativeFrom="page">
            <wp:align>center</wp:align>
          </wp:positionH>
          <wp:positionV relativeFrom="topMargin">
            <wp:posOffset>0</wp:posOffset>
          </wp:positionV>
          <wp:extent cx="7560000" cy="1191600"/>
          <wp:effectExtent l="0" t="0" r="3175" b="8890"/>
          <wp:wrapNone/>
          <wp:docPr id="11770948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176795" name="Picture 1163176795"/>
                  <pic:cNvPicPr/>
                </pic:nvPicPr>
                <pic:blipFill>
                  <a:blip r:embed="rId1">
                    <a:extLst>
                      <a:ext uri="{28A0092B-C50C-407E-A947-70E740481C1C}">
                        <a14:useLocalDpi xmlns:a14="http://schemas.microsoft.com/office/drawing/2010/main" val="0"/>
                      </a:ext>
                    </a:extLst>
                  </a:blip>
                  <a:stretch>
                    <a:fillRect/>
                  </a:stretch>
                </pic:blipFill>
                <pic:spPr>
                  <a:xfrm>
                    <a:off x="0" y="0"/>
                    <a:ext cx="7560000" cy="11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F6563A"/>
    <w:multiLevelType w:val="hybridMultilevel"/>
    <w:tmpl w:val="D39477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8357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C3D"/>
    <w:rsid w:val="00004E05"/>
    <w:rsid w:val="00010DA7"/>
    <w:rsid w:val="00026B15"/>
    <w:rsid w:val="000400E4"/>
    <w:rsid w:val="000452E6"/>
    <w:rsid w:val="0005450F"/>
    <w:rsid w:val="00055F82"/>
    <w:rsid w:val="00062DD1"/>
    <w:rsid w:val="00071944"/>
    <w:rsid w:val="000A3BAB"/>
    <w:rsid w:val="000B0F65"/>
    <w:rsid w:val="000B753A"/>
    <w:rsid w:val="000C59EF"/>
    <w:rsid w:val="000C6823"/>
    <w:rsid w:val="000D0AF5"/>
    <w:rsid w:val="000D4DE6"/>
    <w:rsid w:val="000D6529"/>
    <w:rsid w:val="000E6DE9"/>
    <w:rsid w:val="00107CBE"/>
    <w:rsid w:val="0011062B"/>
    <w:rsid w:val="00124856"/>
    <w:rsid w:val="00125F01"/>
    <w:rsid w:val="00127892"/>
    <w:rsid w:val="001343EF"/>
    <w:rsid w:val="00136ACE"/>
    <w:rsid w:val="001426B6"/>
    <w:rsid w:val="00146FA7"/>
    <w:rsid w:val="00150AD0"/>
    <w:rsid w:val="0015119C"/>
    <w:rsid w:val="001541E6"/>
    <w:rsid w:val="001808C3"/>
    <w:rsid w:val="00181BD5"/>
    <w:rsid w:val="00194919"/>
    <w:rsid w:val="0019502E"/>
    <w:rsid w:val="001A25FA"/>
    <w:rsid w:val="001A63B7"/>
    <w:rsid w:val="001B12DF"/>
    <w:rsid w:val="001B66F3"/>
    <w:rsid w:val="001C5DA3"/>
    <w:rsid w:val="001C64E2"/>
    <w:rsid w:val="001D0A8C"/>
    <w:rsid w:val="001D5C3D"/>
    <w:rsid w:val="001E02DF"/>
    <w:rsid w:val="001E4559"/>
    <w:rsid w:val="001E6517"/>
    <w:rsid w:val="001E7DFC"/>
    <w:rsid w:val="002101AA"/>
    <w:rsid w:val="00211636"/>
    <w:rsid w:val="002123C3"/>
    <w:rsid w:val="00213476"/>
    <w:rsid w:val="00227E6C"/>
    <w:rsid w:val="00234770"/>
    <w:rsid w:val="002421F2"/>
    <w:rsid w:val="00245CCF"/>
    <w:rsid w:val="002500AF"/>
    <w:rsid w:val="00253A5B"/>
    <w:rsid w:val="00274FEE"/>
    <w:rsid w:val="00285735"/>
    <w:rsid w:val="00290BF1"/>
    <w:rsid w:val="00293202"/>
    <w:rsid w:val="0029730D"/>
    <w:rsid w:val="002A03EF"/>
    <w:rsid w:val="002A14B7"/>
    <w:rsid w:val="002A24D2"/>
    <w:rsid w:val="002C1704"/>
    <w:rsid w:val="002E1BBC"/>
    <w:rsid w:val="00303458"/>
    <w:rsid w:val="0031158B"/>
    <w:rsid w:val="003225F9"/>
    <w:rsid w:val="00341566"/>
    <w:rsid w:val="0034468D"/>
    <w:rsid w:val="00357D81"/>
    <w:rsid w:val="00375E38"/>
    <w:rsid w:val="003922FE"/>
    <w:rsid w:val="003B03A0"/>
    <w:rsid w:val="003B0E32"/>
    <w:rsid w:val="003C0BE9"/>
    <w:rsid w:val="003D059A"/>
    <w:rsid w:val="003E27EE"/>
    <w:rsid w:val="003E5DC8"/>
    <w:rsid w:val="003E6120"/>
    <w:rsid w:val="00420DEB"/>
    <w:rsid w:val="004268D6"/>
    <w:rsid w:val="0043139F"/>
    <w:rsid w:val="00436559"/>
    <w:rsid w:val="00450C07"/>
    <w:rsid w:val="00453F60"/>
    <w:rsid w:val="00461398"/>
    <w:rsid w:val="00463B5B"/>
    <w:rsid w:val="00483C71"/>
    <w:rsid w:val="00493132"/>
    <w:rsid w:val="004B2E85"/>
    <w:rsid w:val="004D1B7D"/>
    <w:rsid w:val="004D3D22"/>
    <w:rsid w:val="004D3DE1"/>
    <w:rsid w:val="004E2EC4"/>
    <w:rsid w:val="004E32DF"/>
    <w:rsid w:val="004E3B39"/>
    <w:rsid w:val="004F4302"/>
    <w:rsid w:val="004F5863"/>
    <w:rsid w:val="00511768"/>
    <w:rsid w:val="00516A9A"/>
    <w:rsid w:val="00522351"/>
    <w:rsid w:val="005249F7"/>
    <w:rsid w:val="00533146"/>
    <w:rsid w:val="00535CD9"/>
    <w:rsid w:val="00536CE5"/>
    <w:rsid w:val="00536E36"/>
    <w:rsid w:val="00555B4C"/>
    <w:rsid w:val="005651F2"/>
    <w:rsid w:val="00570CA4"/>
    <w:rsid w:val="00576190"/>
    <w:rsid w:val="00582DD8"/>
    <w:rsid w:val="00583421"/>
    <w:rsid w:val="00594777"/>
    <w:rsid w:val="00595AB6"/>
    <w:rsid w:val="00595DCC"/>
    <w:rsid w:val="005A3747"/>
    <w:rsid w:val="005A4DA7"/>
    <w:rsid w:val="005B2E63"/>
    <w:rsid w:val="005B53DC"/>
    <w:rsid w:val="005C0958"/>
    <w:rsid w:val="005C5E02"/>
    <w:rsid w:val="005E4C6B"/>
    <w:rsid w:val="005E7665"/>
    <w:rsid w:val="005F0AC3"/>
    <w:rsid w:val="00622E6F"/>
    <w:rsid w:val="00627AC5"/>
    <w:rsid w:val="00631DE1"/>
    <w:rsid w:val="00635016"/>
    <w:rsid w:val="00642644"/>
    <w:rsid w:val="00646B16"/>
    <w:rsid w:val="006530C8"/>
    <w:rsid w:val="006629CE"/>
    <w:rsid w:val="00670F99"/>
    <w:rsid w:val="00687CCE"/>
    <w:rsid w:val="00687CE6"/>
    <w:rsid w:val="006942DD"/>
    <w:rsid w:val="006944DF"/>
    <w:rsid w:val="006A78D2"/>
    <w:rsid w:val="006D240E"/>
    <w:rsid w:val="006E7C93"/>
    <w:rsid w:val="006F4DC0"/>
    <w:rsid w:val="006F67B9"/>
    <w:rsid w:val="007055A8"/>
    <w:rsid w:val="007075B9"/>
    <w:rsid w:val="007130D1"/>
    <w:rsid w:val="0071336E"/>
    <w:rsid w:val="00721664"/>
    <w:rsid w:val="007318C1"/>
    <w:rsid w:val="00736B9C"/>
    <w:rsid w:val="007377BC"/>
    <w:rsid w:val="00742B91"/>
    <w:rsid w:val="00752DF4"/>
    <w:rsid w:val="007578A4"/>
    <w:rsid w:val="00757E5A"/>
    <w:rsid w:val="00760FCC"/>
    <w:rsid w:val="00761F5C"/>
    <w:rsid w:val="00764CE6"/>
    <w:rsid w:val="00766993"/>
    <w:rsid w:val="0078537F"/>
    <w:rsid w:val="00787ABA"/>
    <w:rsid w:val="00795AD5"/>
    <w:rsid w:val="007A5865"/>
    <w:rsid w:val="007A77E3"/>
    <w:rsid w:val="007B44A4"/>
    <w:rsid w:val="007C3B73"/>
    <w:rsid w:val="007C4650"/>
    <w:rsid w:val="007D0DE7"/>
    <w:rsid w:val="007D27A2"/>
    <w:rsid w:val="007F01F8"/>
    <w:rsid w:val="00811FA2"/>
    <w:rsid w:val="0081313E"/>
    <w:rsid w:val="00816B20"/>
    <w:rsid w:val="0082053C"/>
    <w:rsid w:val="0082324D"/>
    <w:rsid w:val="00823E37"/>
    <w:rsid w:val="008266BA"/>
    <w:rsid w:val="008437DF"/>
    <w:rsid w:val="008529B5"/>
    <w:rsid w:val="00876C9F"/>
    <w:rsid w:val="00883CA3"/>
    <w:rsid w:val="008868CE"/>
    <w:rsid w:val="00886D66"/>
    <w:rsid w:val="008A2A57"/>
    <w:rsid w:val="008D37E0"/>
    <w:rsid w:val="008F2D56"/>
    <w:rsid w:val="008F592B"/>
    <w:rsid w:val="008F78EC"/>
    <w:rsid w:val="00920453"/>
    <w:rsid w:val="009348D5"/>
    <w:rsid w:val="009374D4"/>
    <w:rsid w:val="00945D0C"/>
    <w:rsid w:val="009570C7"/>
    <w:rsid w:val="00961CA9"/>
    <w:rsid w:val="0096224D"/>
    <w:rsid w:val="0096274D"/>
    <w:rsid w:val="009647E1"/>
    <w:rsid w:val="00992201"/>
    <w:rsid w:val="009E0396"/>
    <w:rsid w:val="00A22C63"/>
    <w:rsid w:val="00A2371D"/>
    <w:rsid w:val="00A24D54"/>
    <w:rsid w:val="00A36F9F"/>
    <w:rsid w:val="00A370CD"/>
    <w:rsid w:val="00A43057"/>
    <w:rsid w:val="00A50F3F"/>
    <w:rsid w:val="00A518F9"/>
    <w:rsid w:val="00A6160B"/>
    <w:rsid w:val="00A67C0E"/>
    <w:rsid w:val="00A67DA4"/>
    <w:rsid w:val="00A77D3C"/>
    <w:rsid w:val="00A90262"/>
    <w:rsid w:val="00A90A0B"/>
    <w:rsid w:val="00A977B6"/>
    <w:rsid w:val="00AA411E"/>
    <w:rsid w:val="00AC01A9"/>
    <w:rsid w:val="00AC1F6E"/>
    <w:rsid w:val="00AF0FBA"/>
    <w:rsid w:val="00AF5B71"/>
    <w:rsid w:val="00B111DE"/>
    <w:rsid w:val="00B114F5"/>
    <w:rsid w:val="00B14C93"/>
    <w:rsid w:val="00B1598F"/>
    <w:rsid w:val="00B15AB9"/>
    <w:rsid w:val="00B33EAD"/>
    <w:rsid w:val="00B61058"/>
    <w:rsid w:val="00B65752"/>
    <w:rsid w:val="00B752EC"/>
    <w:rsid w:val="00B868A4"/>
    <w:rsid w:val="00B87C91"/>
    <w:rsid w:val="00B96763"/>
    <w:rsid w:val="00BB709D"/>
    <w:rsid w:val="00BC063C"/>
    <w:rsid w:val="00BC2983"/>
    <w:rsid w:val="00BC6F31"/>
    <w:rsid w:val="00BD07A3"/>
    <w:rsid w:val="00BE144A"/>
    <w:rsid w:val="00BF2DB3"/>
    <w:rsid w:val="00BF7B6F"/>
    <w:rsid w:val="00C0283B"/>
    <w:rsid w:val="00C10148"/>
    <w:rsid w:val="00C1510A"/>
    <w:rsid w:val="00C41026"/>
    <w:rsid w:val="00C4241C"/>
    <w:rsid w:val="00C53851"/>
    <w:rsid w:val="00C60D80"/>
    <w:rsid w:val="00C61423"/>
    <w:rsid w:val="00C80C82"/>
    <w:rsid w:val="00C97406"/>
    <w:rsid w:val="00CB0BEA"/>
    <w:rsid w:val="00CB6189"/>
    <w:rsid w:val="00CC1D8E"/>
    <w:rsid w:val="00CC3097"/>
    <w:rsid w:val="00CD2AF3"/>
    <w:rsid w:val="00CE65EC"/>
    <w:rsid w:val="00CF0D23"/>
    <w:rsid w:val="00D026CC"/>
    <w:rsid w:val="00D10FF2"/>
    <w:rsid w:val="00D17821"/>
    <w:rsid w:val="00D2593E"/>
    <w:rsid w:val="00D36EA2"/>
    <w:rsid w:val="00D470B7"/>
    <w:rsid w:val="00D81DAF"/>
    <w:rsid w:val="00D83631"/>
    <w:rsid w:val="00D866E6"/>
    <w:rsid w:val="00DA6870"/>
    <w:rsid w:val="00DB1980"/>
    <w:rsid w:val="00DC41FB"/>
    <w:rsid w:val="00DC52A7"/>
    <w:rsid w:val="00DC7261"/>
    <w:rsid w:val="00DD2ED0"/>
    <w:rsid w:val="00DD724D"/>
    <w:rsid w:val="00DE396C"/>
    <w:rsid w:val="00DE7FDE"/>
    <w:rsid w:val="00E153E9"/>
    <w:rsid w:val="00E15820"/>
    <w:rsid w:val="00E2248C"/>
    <w:rsid w:val="00E22766"/>
    <w:rsid w:val="00E2676C"/>
    <w:rsid w:val="00E31A54"/>
    <w:rsid w:val="00E328F1"/>
    <w:rsid w:val="00E34E2C"/>
    <w:rsid w:val="00E37C2D"/>
    <w:rsid w:val="00E47D22"/>
    <w:rsid w:val="00E54236"/>
    <w:rsid w:val="00E72E13"/>
    <w:rsid w:val="00E802E3"/>
    <w:rsid w:val="00E8195E"/>
    <w:rsid w:val="00E91254"/>
    <w:rsid w:val="00E91C0C"/>
    <w:rsid w:val="00E939CA"/>
    <w:rsid w:val="00EA495A"/>
    <w:rsid w:val="00EA5223"/>
    <w:rsid w:val="00EA7246"/>
    <w:rsid w:val="00EB072F"/>
    <w:rsid w:val="00EB4FF5"/>
    <w:rsid w:val="00EC27E9"/>
    <w:rsid w:val="00EC33E7"/>
    <w:rsid w:val="00EC79F3"/>
    <w:rsid w:val="00ED0497"/>
    <w:rsid w:val="00ED46D7"/>
    <w:rsid w:val="00EE616E"/>
    <w:rsid w:val="00EF1860"/>
    <w:rsid w:val="00EF1F5F"/>
    <w:rsid w:val="00F103B3"/>
    <w:rsid w:val="00F31B94"/>
    <w:rsid w:val="00F33A18"/>
    <w:rsid w:val="00F33F42"/>
    <w:rsid w:val="00F47241"/>
    <w:rsid w:val="00F474E8"/>
    <w:rsid w:val="00F51996"/>
    <w:rsid w:val="00F51F9D"/>
    <w:rsid w:val="00F570EC"/>
    <w:rsid w:val="00F657DA"/>
    <w:rsid w:val="00F73658"/>
    <w:rsid w:val="00F74171"/>
    <w:rsid w:val="00F8367B"/>
    <w:rsid w:val="00F97F3A"/>
    <w:rsid w:val="00FA40C6"/>
    <w:rsid w:val="00FC0359"/>
    <w:rsid w:val="00FC0460"/>
    <w:rsid w:val="00FC13FD"/>
    <w:rsid w:val="00FC7E2D"/>
    <w:rsid w:val="00FD479D"/>
    <w:rsid w:val="00FF4FBF"/>
    <w:rsid w:val="00FF5E76"/>
    <w:rsid w:val="00FF67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4B5BC"/>
  <w15:docId w15:val="{F19F30D5-339B-4A0D-A23D-4DA1A34DA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097"/>
  </w:style>
  <w:style w:type="paragraph" w:styleId="Heading1">
    <w:name w:val="heading 1"/>
    <w:basedOn w:val="Normal"/>
    <w:next w:val="Normal"/>
    <w:link w:val="Heading1Char"/>
    <w:uiPriority w:val="9"/>
    <w:qFormat/>
    <w:rsid w:val="0028573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5C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C3D"/>
    <w:rPr>
      <w:rFonts w:ascii="Tahoma" w:hAnsi="Tahoma" w:cs="Tahoma"/>
      <w:sz w:val="16"/>
      <w:szCs w:val="16"/>
    </w:rPr>
  </w:style>
  <w:style w:type="paragraph" w:styleId="ListParagraph">
    <w:name w:val="List Paragraph"/>
    <w:basedOn w:val="Normal"/>
    <w:uiPriority w:val="34"/>
    <w:qFormat/>
    <w:rsid w:val="00BF2DB3"/>
    <w:pPr>
      <w:ind w:left="720"/>
      <w:contextualSpacing/>
    </w:pPr>
  </w:style>
  <w:style w:type="character" w:styleId="CommentReference">
    <w:name w:val="annotation reference"/>
    <w:basedOn w:val="DefaultParagraphFont"/>
    <w:uiPriority w:val="99"/>
    <w:semiHidden/>
    <w:unhideWhenUsed/>
    <w:rsid w:val="00D866E6"/>
    <w:rPr>
      <w:sz w:val="16"/>
      <w:szCs w:val="16"/>
    </w:rPr>
  </w:style>
  <w:style w:type="paragraph" w:styleId="CommentText">
    <w:name w:val="annotation text"/>
    <w:basedOn w:val="Normal"/>
    <w:link w:val="CommentTextChar"/>
    <w:uiPriority w:val="99"/>
    <w:semiHidden/>
    <w:unhideWhenUsed/>
    <w:rsid w:val="00D866E6"/>
    <w:pPr>
      <w:spacing w:line="240" w:lineRule="auto"/>
    </w:pPr>
    <w:rPr>
      <w:sz w:val="20"/>
      <w:szCs w:val="20"/>
    </w:rPr>
  </w:style>
  <w:style w:type="character" w:customStyle="1" w:styleId="CommentTextChar">
    <w:name w:val="Comment Text Char"/>
    <w:basedOn w:val="DefaultParagraphFont"/>
    <w:link w:val="CommentText"/>
    <w:uiPriority w:val="99"/>
    <w:semiHidden/>
    <w:rsid w:val="00D866E6"/>
    <w:rPr>
      <w:sz w:val="20"/>
      <w:szCs w:val="20"/>
    </w:rPr>
  </w:style>
  <w:style w:type="paragraph" w:styleId="CommentSubject">
    <w:name w:val="annotation subject"/>
    <w:basedOn w:val="CommentText"/>
    <w:next w:val="CommentText"/>
    <w:link w:val="CommentSubjectChar"/>
    <w:uiPriority w:val="99"/>
    <w:semiHidden/>
    <w:unhideWhenUsed/>
    <w:rsid w:val="00D866E6"/>
    <w:rPr>
      <w:b/>
      <w:bCs/>
    </w:rPr>
  </w:style>
  <w:style w:type="character" w:customStyle="1" w:styleId="CommentSubjectChar">
    <w:name w:val="Comment Subject Char"/>
    <w:basedOn w:val="CommentTextChar"/>
    <w:link w:val="CommentSubject"/>
    <w:uiPriority w:val="99"/>
    <w:semiHidden/>
    <w:rsid w:val="00D866E6"/>
    <w:rPr>
      <w:b/>
      <w:bCs/>
      <w:sz w:val="20"/>
      <w:szCs w:val="20"/>
    </w:rPr>
  </w:style>
  <w:style w:type="character" w:styleId="Hyperlink">
    <w:name w:val="Hyperlink"/>
    <w:basedOn w:val="DefaultParagraphFont"/>
    <w:uiPriority w:val="99"/>
    <w:semiHidden/>
    <w:unhideWhenUsed/>
    <w:rsid w:val="0096274D"/>
    <w:rPr>
      <w:color w:val="0000FF"/>
      <w:u w:val="single"/>
    </w:rPr>
  </w:style>
  <w:style w:type="character" w:customStyle="1" w:styleId="Heading1Char">
    <w:name w:val="Heading 1 Char"/>
    <w:basedOn w:val="DefaultParagraphFont"/>
    <w:link w:val="Heading1"/>
    <w:uiPriority w:val="9"/>
    <w:rsid w:val="00285735"/>
    <w:rPr>
      <w:rFonts w:asciiTheme="majorHAnsi" w:eastAsiaTheme="majorEastAsia" w:hAnsiTheme="majorHAnsi" w:cstheme="majorBidi"/>
      <w:b/>
      <w:bCs/>
      <w:color w:val="365F91" w:themeColor="accent1" w:themeShade="BF"/>
      <w:sz w:val="28"/>
      <w:szCs w:val="28"/>
      <w:lang w:eastAsia="hr-HR"/>
    </w:rPr>
  </w:style>
  <w:style w:type="character" w:styleId="Strong">
    <w:name w:val="Strong"/>
    <w:basedOn w:val="DefaultParagraphFont"/>
    <w:uiPriority w:val="22"/>
    <w:qFormat/>
    <w:rsid w:val="008437DF"/>
    <w:rPr>
      <w:b/>
      <w:bCs/>
    </w:rPr>
  </w:style>
  <w:style w:type="paragraph" w:styleId="NormalWeb">
    <w:name w:val="Normal (Web)"/>
    <w:basedOn w:val="Normal"/>
    <w:uiPriority w:val="99"/>
    <w:unhideWhenUsed/>
    <w:rsid w:val="008F78EC"/>
    <w:pPr>
      <w:spacing w:before="100" w:beforeAutospacing="1" w:after="142"/>
    </w:pPr>
    <w:rPr>
      <w:rFonts w:ascii="Times New Roman" w:eastAsia="Times New Roman" w:hAnsi="Times New Roman" w:cs="Times New Roman"/>
      <w:sz w:val="24"/>
      <w:szCs w:val="24"/>
      <w:lang w:eastAsia="hr-HR"/>
    </w:rPr>
  </w:style>
  <w:style w:type="paragraph" w:styleId="Header">
    <w:name w:val="header"/>
    <w:basedOn w:val="Normal"/>
    <w:link w:val="HeaderChar"/>
    <w:uiPriority w:val="99"/>
    <w:unhideWhenUsed/>
    <w:rsid w:val="00945D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5D0C"/>
  </w:style>
  <w:style w:type="paragraph" w:styleId="Footer">
    <w:name w:val="footer"/>
    <w:basedOn w:val="Normal"/>
    <w:link w:val="FooterChar"/>
    <w:uiPriority w:val="99"/>
    <w:unhideWhenUsed/>
    <w:rsid w:val="00945D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5D0C"/>
  </w:style>
  <w:style w:type="character" w:styleId="Emphasis">
    <w:name w:val="Emphasis"/>
    <w:basedOn w:val="DefaultParagraphFont"/>
    <w:uiPriority w:val="20"/>
    <w:qFormat/>
    <w:rsid w:val="00B752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201">
      <w:bodyDiv w:val="1"/>
      <w:marLeft w:val="0"/>
      <w:marRight w:val="0"/>
      <w:marTop w:val="0"/>
      <w:marBottom w:val="0"/>
      <w:divBdr>
        <w:top w:val="none" w:sz="0" w:space="0" w:color="auto"/>
        <w:left w:val="none" w:sz="0" w:space="0" w:color="auto"/>
        <w:bottom w:val="none" w:sz="0" w:space="0" w:color="auto"/>
        <w:right w:val="none" w:sz="0" w:space="0" w:color="auto"/>
      </w:divBdr>
    </w:div>
    <w:div w:id="136000040">
      <w:bodyDiv w:val="1"/>
      <w:marLeft w:val="0"/>
      <w:marRight w:val="0"/>
      <w:marTop w:val="0"/>
      <w:marBottom w:val="0"/>
      <w:divBdr>
        <w:top w:val="none" w:sz="0" w:space="0" w:color="auto"/>
        <w:left w:val="none" w:sz="0" w:space="0" w:color="auto"/>
        <w:bottom w:val="none" w:sz="0" w:space="0" w:color="auto"/>
        <w:right w:val="none" w:sz="0" w:space="0" w:color="auto"/>
      </w:divBdr>
    </w:div>
    <w:div w:id="165368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718C8-5AC9-4668-AF78-F389184C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535</Words>
  <Characters>3056</Characters>
  <Application>Microsoft Office Word</Application>
  <DocSecurity>0</DocSecurity>
  <Lines>25</Lines>
  <Paragraphs>7</Paragraphs>
  <ScaleCrop>false</ScaleCrop>
  <HeadingPairs>
    <vt:vector size="6" baseType="variant">
      <vt:variant>
        <vt:lpstr>Title</vt:lpstr>
      </vt:variant>
      <vt:variant>
        <vt:i4>1</vt:i4>
      </vt:variant>
      <vt:variant>
        <vt:lpstr>Naslov</vt:lpstr>
      </vt:variant>
      <vt:variant>
        <vt:i4>1</vt:i4>
      </vt:variant>
      <vt:variant>
        <vt:lpstr>Titel</vt:lpstr>
      </vt:variant>
      <vt:variant>
        <vt:i4>1</vt:i4>
      </vt:variant>
    </vt:vector>
  </HeadingPairs>
  <TitlesOfParts>
    <vt:vector size="3" baseType="lpstr">
      <vt:lpstr/>
      <vt:lpstr/>
      <vt:lpstr/>
    </vt:vector>
  </TitlesOfParts>
  <Company>Hewlett-Packard</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Danijel Iveta</cp:lastModifiedBy>
  <cp:revision>14</cp:revision>
  <dcterms:created xsi:type="dcterms:W3CDTF">2026-02-24T13:14:00Z</dcterms:created>
  <dcterms:modified xsi:type="dcterms:W3CDTF">2026-02-24T14:32:00Z</dcterms:modified>
</cp:coreProperties>
</file>